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240" w:before="240" w:line="240" w:lineRule="auto"/>
        <w:rPr>
          <w:rFonts w:ascii="Merriweather" w:cs="Merriweather" w:eastAsia="Merriweather" w:hAnsi="Merriweather"/>
          <w:b w:val="1"/>
          <w:bCs w:val="1"/>
          <w:sz w:val="30"/>
          <w:szCs w:val="30"/>
        </w:rPr>
      </w:pPr>
      <w:r w:rsidDel="00000000" w:rsidR="00000000" w:rsidRPr="00000000">
        <w:rPr>
          <w:rFonts w:ascii="Merriweather" w:cs="Merriweather" w:eastAsia="Merriweather" w:hAnsi="Merriweather"/>
          <w:b w:val="1"/>
          <w:bCs w:val="1"/>
          <w:sz w:val="30"/>
          <w:szCs w:val="30"/>
          <w:rtl w:val="0"/>
        </w:rPr>
        <w:t xml:space="preserve">Athena Perspective</w:t>
        <w:br w:type="textWrapping"/>
        <w:t xml:space="preserve">Education Budgeting and Learning Outcomes in Nigeria: A System That Spends Without Delivering</w:t>
      </w:r>
    </w:p>
    <w:p w:rsidR="00000000" w:rsidDel="00000000" w:rsidP="00000000" w:rsidRDefault="00000000" w:rsidRPr="00000000" w14:paraId="00000002">
      <w:pPr>
        <w:spacing w:after="240" w:before="240" w:line="240" w:lineRule="auto"/>
        <w:rPr>
          <w:rFonts w:ascii="Merriweather" w:cs="Merriweather" w:eastAsia="Merriweather" w:hAnsi="Merriweather"/>
          <w:sz w:val="30"/>
          <w:szCs w:val="30"/>
        </w:rPr>
      </w:pPr>
      <w:r w:rsidDel="00000000" w:rsidR="00000000" w:rsidRPr="00000000">
        <w:rPr>
          <w:rFonts w:ascii="Merriweather" w:cs="Merriweather" w:eastAsia="Merriweather" w:hAnsi="Merriweather"/>
          <w:i w:val="1"/>
          <w:iCs w:val="1"/>
          <w:sz w:val="30"/>
          <w:szCs w:val="30"/>
          <w:rtl w:val="0"/>
        </w:rPr>
        <w:t xml:space="preserve">Vol. 3 Issue 14 | 14–20 April 2026</w:t>
        <w:br w:type="textWrapping"/>
      </w:r>
      <w:r w:rsidDel="00000000" w:rsidR="00000000" w:rsidRPr="00000000">
        <w:rPr>
          <w:rtl w:val="0"/>
        </w:rPr>
      </w:r>
    </w:p>
    <w:p w:rsidR="00000000" w:rsidDel="00000000" w:rsidP="00000000" w:rsidRDefault="00000000" w:rsidRPr="00000000" w14:paraId="00000003">
      <w:pPr>
        <w:spacing w:after="240" w:before="240" w:line="240" w:lineRule="auto"/>
        <w:rPr>
          <w:rFonts w:ascii="Merriweather" w:cs="Merriweather" w:eastAsia="Merriweather" w:hAnsi="Merriweather"/>
          <w:b w:val="1"/>
          <w:bCs w:val="1"/>
          <w:sz w:val="30"/>
          <w:szCs w:val="30"/>
        </w:rPr>
      </w:pPr>
      <w:r w:rsidDel="00000000" w:rsidR="00000000" w:rsidRPr="00000000">
        <w:rPr>
          <w:rFonts w:ascii="Merriweather" w:cs="Merriweather" w:eastAsia="Merriweather" w:hAnsi="Merriweather"/>
          <w:b w:val="1"/>
          <w:bCs w:val="1"/>
          <w:sz w:val="30"/>
          <w:szCs w:val="30"/>
          <w:rtl w:val="0"/>
        </w:rPr>
        <w:t xml:space="preserve">Ahmed Abdullahi</w:t>
      </w:r>
    </w:p>
    <w:p w:rsidR="00000000" w:rsidDel="00000000" w:rsidP="00000000" w:rsidRDefault="00000000" w:rsidRPr="00000000" w14:paraId="00000004">
      <w:pPr>
        <w:spacing w:after="240" w:before="240" w:line="240" w:lineRule="auto"/>
        <w:rPr>
          <w:rFonts w:ascii="Merriweather" w:cs="Merriweather" w:eastAsia="Merriweather" w:hAnsi="Merriweather"/>
          <w:sz w:val="30"/>
          <w:szCs w:val="30"/>
        </w:rPr>
      </w:pPr>
      <w:r w:rsidDel="00000000" w:rsidR="00000000" w:rsidRPr="00000000">
        <w:rPr>
          <w:rFonts w:ascii="Merriweather" w:cs="Merriweather" w:eastAsia="Merriweather" w:hAnsi="Merriweather"/>
          <w:sz w:val="30"/>
          <w:szCs w:val="30"/>
          <w:rtl w:val="0"/>
        </w:rPr>
        <w:t xml:space="preserve">Nigeria’s education outcomes have remained weak despite sustained increases in public education spending over the past decade. Federal and state education budgets have expanded in nominal terms, yet improvements in foundational learning, access, and system equity have been limited. This pattern suggests that the constraint is not funding volume alone, but how education resources are allocated, executed, and linked to delivery performance.</w:t>
      </w:r>
    </w:p>
    <w:p w:rsidR="00000000" w:rsidDel="00000000" w:rsidP="00000000" w:rsidRDefault="00000000" w:rsidRPr="00000000" w14:paraId="00000005">
      <w:pPr>
        <w:spacing w:after="240" w:before="240" w:line="240" w:lineRule="auto"/>
        <w:rPr>
          <w:rFonts w:ascii="Merriweather" w:cs="Merriweather" w:eastAsia="Merriweather" w:hAnsi="Merriweather"/>
          <w:sz w:val="30"/>
          <w:szCs w:val="30"/>
        </w:rPr>
      </w:pPr>
      <w:r w:rsidDel="00000000" w:rsidR="00000000" w:rsidRPr="00000000">
        <w:rPr>
          <w:rFonts w:ascii="Merriweather" w:cs="Merriweather" w:eastAsia="Merriweather" w:hAnsi="Merriweather"/>
          <w:sz w:val="30"/>
          <w:szCs w:val="30"/>
          <w:rtl w:val="0"/>
        </w:rPr>
        <w:t xml:space="preserve">Between 2019 and 2025, federal education allocations rose from approximately N602 billion to over N3.5 trillion. Over the same period, state education budgets also increased. However, available learning indicators show that fewer than one-third of pupils achieve minimum literacy and numeracy benchmarks in early grades, secondary completion quality varies widely across regions, and an estimated </w:t>
      </w:r>
      <w:hyperlink r:id="rId6">
        <w:r w:rsidDel="00000000" w:rsidR="00000000" w:rsidRPr="00000000">
          <w:rPr>
            <w:rFonts w:ascii="Merriweather" w:cs="Merriweather" w:eastAsia="Merriweather" w:hAnsi="Merriweather"/>
            <w:color w:val="1155cc"/>
            <w:sz w:val="30"/>
            <w:szCs w:val="30"/>
            <w:u w:val="single"/>
            <w:rtl w:val="0"/>
          </w:rPr>
          <w:t xml:space="preserve">18–20 million children</w:t>
        </w:r>
      </w:hyperlink>
      <w:r w:rsidDel="00000000" w:rsidR="00000000" w:rsidRPr="00000000">
        <w:rPr>
          <w:rFonts w:ascii="Merriweather" w:cs="Merriweather" w:eastAsia="Merriweather" w:hAnsi="Merriweather"/>
          <w:sz w:val="30"/>
          <w:szCs w:val="30"/>
          <w:rtl w:val="0"/>
        </w:rPr>
        <w:t xml:space="preserve"> remain out of school. Taken together, these outcomes suggest that higher spending has not been consistently associated with improvements in learning or access under prevailing </w:t>
      </w:r>
      <w:hyperlink r:id="rId7">
        <w:r w:rsidDel="00000000" w:rsidR="00000000" w:rsidRPr="00000000">
          <w:rPr>
            <w:rFonts w:ascii="Merriweather" w:cs="Merriweather" w:eastAsia="Merriweather" w:hAnsi="Merriweather"/>
            <w:color w:val="1155cc"/>
            <w:sz w:val="30"/>
            <w:szCs w:val="30"/>
            <w:u w:val="single"/>
            <w:rtl w:val="0"/>
          </w:rPr>
          <w:t xml:space="preserve">budget practices</w:t>
        </w:r>
      </w:hyperlink>
      <w:r w:rsidDel="00000000" w:rsidR="00000000" w:rsidRPr="00000000">
        <w:rPr>
          <w:rFonts w:ascii="Merriweather" w:cs="Merriweather" w:eastAsia="Merriweather" w:hAnsi="Merriweather"/>
          <w:sz w:val="30"/>
          <w:szCs w:val="30"/>
          <w:rtl w:val="0"/>
        </w:rPr>
        <w:t xml:space="preserve">.</w:t>
      </w:r>
    </w:p>
    <w:p w:rsidR="00000000" w:rsidDel="00000000" w:rsidP="00000000" w:rsidRDefault="00000000" w:rsidRPr="00000000" w14:paraId="00000006">
      <w:pPr>
        <w:spacing w:after="240" w:before="240" w:line="240" w:lineRule="auto"/>
        <w:rPr>
          <w:rFonts w:ascii="Merriweather" w:cs="Merriweather" w:eastAsia="Merriweather" w:hAnsi="Merriweather"/>
          <w:sz w:val="30"/>
          <w:szCs w:val="30"/>
        </w:rPr>
      </w:pPr>
      <w:r w:rsidDel="00000000" w:rsidR="00000000" w:rsidRPr="00000000">
        <w:rPr>
          <w:rFonts w:ascii="Merriweather" w:cs="Merriweather" w:eastAsia="Merriweather" w:hAnsi="Merriweather"/>
          <w:sz w:val="30"/>
          <w:szCs w:val="30"/>
          <w:rtl w:val="0"/>
        </w:rPr>
        <w:t xml:space="preserve">This pattern reflects a budgeting architecture that largely prioritises routine obligations, personnel costs, administrative overheads, and historically determined line items over investments explicitly tied to measurable learning outcomes, infrastructure delivery, or system efficiency. Budget appropriations are rarely conditional on performance, and execution shortfalls are weakly sanctioned, reducing incentives for results-oriented spending.</w:t>
      </w:r>
    </w:p>
    <w:p w:rsidR="00000000" w:rsidDel="00000000" w:rsidP="00000000" w:rsidRDefault="00000000" w:rsidRPr="00000000" w14:paraId="00000007">
      <w:pPr>
        <w:spacing w:after="240" w:before="240" w:line="240" w:lineRule="auto"/>
        <w:rPr>
          <w:rFonts w:ascii="Merriweather" w:cs="Merriweather" w:eastAsia="Merriweather" w:hAnsi="Merriweather"/>
          <w:sz w:val="30"/>
          <w:szCs w:val="30"/>
        </w:rPr>
      </w:pPr>
      <w:r w:rsidDel="00000000" w:rsidR="00000000" w:rsidRPr="00000000">
        <w:rPr>
          <w:rFonts w:ascii="Merriweather" w:cs="Merriweather" w:eastAsia="Merriweather" w:hAnsi="Merriweather"/>
          <w:sz w:val="30"/>
          <w:szCs w:val="30"/>
          <w:rtl w:val="0"/>
        </w:rPr>
        <w:t xml:space="preserve">The timing of this issue is particularly consequential. Nigeria is currently operating under significant fiscal compression driven by fuel subsidy reforms, rising debt-service obligations, and constrained </w:t>
      </w:r>
      <w:hyperlink r:id="rId8">
        <w:r w:rsidDel="00000000" w:rsidR="00000000" w:rsidRPr="00000000">
          <w:rPr>
            <w:rFonts w:ascii="Merriweather" w:cs="Merriweather" w:eastAsia="Merriweather" w:hAnsi="Merriweather"/>
            <w:color w:val="1155cc"/>
            <w:sz w:val="30"/>
            <w:szCs w:val="30"/>
            <w:u w:val="single"/>
            <w:rtl w:val="0"/>
          </w:rPr>
          <w:t xml:space="preserve">revenue growth</w:t>
        </w:r>
      </w:hyperlink>
      <w:r w:rsidDel="00000000" w:rsidR="00000000" w:rsidRPr="00000000">
        <w:rPr>
          <w:rFonts w:ascii="Merriweather" w:cs="Merriweather" w:eastAsia="Merriweather" w:hAnsi="Merriweather"/>
          <w:sz w:val="30"/>
          <w:szCs w:val="30"/>
          <w:rtl w:val="0"/>
        </w:rPr>
        <w:t xml:space="preserve">. Within this context, the 2024–2026 medium-term expenditure framework has intensified scrutiny over value for money in social sector spending, including education. As fiscal space narrows, the opportunity cost of ineffective education budgeting increases, placing pressure on policymakers to justify not only how much is spent but also what public spending delivers.</w:t>
      </w:r>
    </w:p>
    <w:p w:rsidR="00000000" w:rsidDel="00000000" w:rsidP="00000000" w:rsidRDefault="00000000" w:rsidRPr="00000000" w14:paraId="00000008">
      <w:pPr>
        <w:spacing w:after="240" w:before="240" w:line="240" w:lineRule="auto"/>
        <w:rPr>
          <w:rFonts w:ascii="Merriweather" w:cs="Merriweather" w:eastAsia="Merriweather" w:hAnsi="Merriweather"/>
          <w:sz w:val="30"/>
          <w:szCs w:val="30"/>
        </w:rPr>
      </w:pPr>
      <w:r w:rsidDel="00000000" w:rsidR="00000000" w:rsidRPr="00000000">
        <w:rPr>
          <w:rFonts w:ascii="Merriweather" w:cs="Merriweather" w:eastAsia="Merriweather" w:hAnsi="Merriweather"/>
          <w:sz w:val="30"/>
          <w:szCs w:val="30"/>
          <w:rtl w:val="0"/>
        </w:rPr>
        <w:t xml:space="preserve">The central policy problem is that Nigeria’s education budgeting system allocates and executes public funds with limited enforceable links to learning outcomes, delivery performance, or system equity. Unless this linkage is strengthened, additional spending is unlikely to produce proportionate improvements in human capital formation or labour productivity.</w:t>
      </w:r>
    </w:p>
    <w:p w:rsidR="00000000" w:rsidDel="00000000" w:rsidP="00000000" w:rsidRDefault="00000000" w:rsidRPr="00000000" w14:paraId="00000009">
      <w:pPr>
        <w:spacing w:line="240" w:lineRule="auto"/>
        <w:rPr>
          <w:rFonts w:ascii="Merriweather" w:cs="Merriweather" w:eastAsia="Merriweather" w:hAnsi="Merriweather"/>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pStyle w:val="Heading3"/>
        <w:keepNext w:val="0"/>
        <w:keepLines w:val="0"/>
        <w:spacing w:before="280" w:line="240" w:lineRule="auto"/>
        <w:rPr>
          <w:rFonts w:ascii="Merriweather" w:cs="Merriweather" w:eastAsia="Merriweather" w:hAnsi="Merriweather"/>
          <w:b w:val="1"/>
          <w:bCs w:val="1"/>
          <w:color w:val="000000"/>
          <w:sz w:val="34"/>
          <w:szCs w:val="34"/>
        </w:rPr>
      </w:pPr>
      <w:bookmarkStart w:colFirst="0" w:colLast="0" w:name="_okg9ktaxu8bf" w:id="0"/>
      <w:bookmarkEnd w:id="0"/>
      <w:r w:rsidDel="00000000" w:rsidR="00000000" w:rsidRPr="00000000">
        <w:rPr>
          <w:rFonts w:ascii="Merriweather" w:cs="Merriweather" w:eastAsia="Merriweather" w:hAnsi="Merriweather"/>
          <w:b w:val="1"/>
          <w:bCs w:val="1"/>
          <w:color w:val="000000"/>
          <w:sz w:val="34"/>
          <w:szCs w:val="34"/>
          <w:rtl w:val="0"/>
        </w:rPr>
        <w:t xml:space="preserve">The Institutional Failure Behind Education Budgeting</w:t>
      </w:r>
    </w:p>
    <w:p w:rsidR="00000000" w:rsidDel="00000000" w:rsidP="00000000" w:rsidRDefault="00000000" w:rsidRPr="00000000" w14:paraId="0000000B">
      <w:pPr>
        <w:spacing w:after="240" w:before="240" w:line="240" w:lineRule="auto"/>
        <w:rPr>
          <w:rFonts w:ascii="Merriweather" w:cs="Merriweather" w:eastAsia="Merriweather" w:hAnsi="Merriweather"/>
          <w:sz w:val="30"/>
          <w:szCs w:val="30"/>
        </w:rPr>
      </w:pPr>
      <w:r w:rsidDel="00000000" w:rsidR="00000000" w:rsidRPr="00000000">
        <w:rPr>
          <w:rFonts w:ascii="Merriweather" w:cs="Merriweather" w:eastAsia="Merriweather" w:hAnsi="Merriweather"/>
          <w:sz w:val="30"/>
          <w:szCs w:val="30"/>
          <w:rtl w:val="0"/>
        </w:rPr>
        <w:t xml:space="preserve">Nigeria’s education budgeting outcomes are shaped by a public finance architecture in which responsibility for funding decisions is fragmented, while accountability for results is diffuse. Education budgets are prepared primarily as administrative instruments, which limits their effectiveness as tools for system improvement.</w:t>
      </w:r>
    </w:p>
    <w:p w:rsidR="00000000" w:rsidDel="00000000" w:rsidP="00000000" w:rsidRDefault="00000000" w:rsidRPr="00000000" w14:paraId="0000000C">
      <w:pPr>
        <w:spacing w:after="240" w:before="240" w:line="240" w:lineRule="auto"/>
        <w:rPr>
          <w:rFonts w:ascii="Merriweather" w:cs="Merriweather" w:eastAsia="Merriweather" w:hAnsi="Merriweather"/>
          <w:sz w:val="30"/>
          <w:szCs w:val="30"/>
        </w:rPr>
      </w:pPr>
      <w:r w:rsidDel="00000000" w:rsidR="00000000" w:rsidRPr="00000000">
        <w:rPr>
          <w:rFonts w:ascii="Merriweather" w:cs="Merriweather" w:eastAsia="Merriweather" w:hAnsi="Merriweather"/>
          <w:sz w:val="30"/>
          <w:szCs w:val="30"/>
          <w:rtl w:val="0"/>
        </w:rPr>
        <w:t xml:space="preserve">A first institutional weakness lies in the design of incentives. Budget-holding institutions—federal ministries, state ministries of education, and implementing agencies—are evaluated primarily on their ability to secure and disburse allocations, not on whether learning outcomes improve. Under the current framework, weak project delivery or stagnant learning indicators carry few fiscal or administrative consequences.</w:t>
      </w:r>
    </w:p>
    <w:p w:rsidR="00000000" w:rsidDel="00000000" w:rsidP="00000000" w:rsidRDefault="00000000" w:rsidRPr="00000000" w14:paraId="0000000D">
      <w:pPr>
        <w:spacing w:after="240" w:before="240" w:line="240" w:lineRule="auto"/>
        <w:rPr>
          <w:rFonts w:ascii="Merriweather" w:cs="Merriweather" w:eastAsia="Merriweather" w:hAnsi="Merriweather"/>
          <w:sz w:val="30"/>
          <w:szCs w:val="30"/>
        </w:rPr>
      </w:pPr>
      <w:r w:rsidDel="00000000" w:rsidR="00000000" w:rsidRPr="00000000">
        <w:rPr>
          <w:rFonts w:ascii="Merriweather" w:cs="Merriweather" w:eastAsia="Merriweather" w:hAnsi="Merriweather"/>
          <w:sz w:val="30"/>
          <w:szCs w:val="30"/>
          <w:rtl w:val="0"/>
        </w:rPr>
        <w:t xml:space="preserve">Second, oversight and enforcement mechanisms remain limited. While the Federal Ministry of Finance and the Budget Office of the Federation set aggregate fiscal parameters, education execution occurs largely at the state level. States frequently under-implement approved education budgets, with average execution rates below </w:t>
      </w:r>
      <w:hyperlink r:id="rId9">
        <w:r w:rsidDel="00000000" w:rsidR="00000000" w:rsidRPr="00000000">
          <w:rPr>
            <w:rFonts w:ascii="Merriweather" w:cs="Merriweather" w:eastAsia="Merriweather" w:hAnsi="Merriweather"/>
            <w:color w:val="1155cc"/>
            <w:sz w:val="30"/>
            <w:szCs w:val="30"/>
            <w:u w:val="single"/>
            <w:rtl w:val="0"/>
          </w:rPr>
          <w:t xml:space="preserve">70 per cent</w:t>
        </w:r>
      </w:hyperlink>
      <w:r w:rsidDel="00000000" w:rsidR="00000000" w:rsidRPr="00000000">
        <w:rPr>
          <w:rFonts w:ascii="Merriweather" w:cs="Merriweather" w:eastAsia="Merriweather" w:hAnsi="Merriweather"/>
          <w:sz w:val="30"/>
          <w:szCs w:val="30"/>
          <w:rtl w:val="0"/>
        </w:rPr>
        <w:t xml:space="preserve">, yet there are no binding sanctions or corrective instruments to address persistent underperformance. This weak enforcement environment normalises partial delivery.</w:t>
      </w:r>
    </w:p>
    <w:p w:rsidR="00000000" w:rsidDel="00000000" w:rsidP="00000000" w:rsidRDefault="00000000" w:rsidRPr="00000000" w14:paraId="0000000E">
      <w:pPr>
        <w:spacing w:after="240" w:before="240" w:line="240" w:lineRule="auto"/>
        <w:rPr>
          <w:rFonts w:ascii="Merriweather" w:cs="Merriweather" w:eastAsia="Merriweather" w:hAnsi="Merriweather"/>
          <w:sz w:val="30"/>
          <w:szCs w:val="30"/>
        </w:rPr>
      </w:pPr>
      <w:r w:rsidDel="00000000" w:rsidR="00000000" w:rsidRPr="00000000">
        <w:rPr>
          <w:rFonts w:ascii="Merriweather" w:cs="Merriweather" w:eastAsia="Merriweather" w:hAnsi="Merriweather"/>
          <w:sz w:val="30"/>
          <w:szCs w:val="30"/>
          <w:rtl w:val="0"/>
        </w:rPr>
        <w:t xml:space="preserve">Third, expenditure composition remains heavily skewed toward recurrent spending. Personnel costs absorb a dominant share of education budgets across most states, constraining fiscal space for infrastructure rehabilitation, teacher development, learning materials, and early-grade interventions. This pattern appears to reflect institutional inertia rather than explicit, evidence-based prioritisation.</w:t>
      </w:r>
    </w:p>
    <w:p w:rsidR="00000000" w:rsidDel="00000000" w:rsidP="00000000" w:rsidRDefault="00000000" w:rsidRPr="00000000" w14:paraId="0000000F">
      <w:pPr>
        <w:spacing w:after="240" w:before="240" w:line="240" w:lineRule="auto"/>
        <w:rPr>
          <w:rFonts w:ascii="Merriweather" w:cs="Merriweather" w:eastAsia="Merriweather" w:hAnsi="Merriweather"/>
          <w:sz w:val="30"/>
          <w:szCs w:val="30"/>
        </w:rPr>
      </w:pPr>
      <w:r w:rsidDel="00000000" w:rsidR="00000000" w:rsidRPr="00000000">
        <w:rPr>
          <w:rFonts w:ascii="Merriweather" w:cs="Merriweather" w:eastAsia="Merriweather" w:hAnsi="Merriweather"/>
          <w:sz w:val="30"/>
          <w:szCs w:val="30"/>
          <w:rtl w:val="0"/>
        </w:rPr>
        <w:t xml:space="preserve">As a result, there is a structural gap between education policy objectives—improved learning, equitable access, and system efficiency—and the budgeting mechanisms intended to finance them. The system reliably funds continuity, but only inconsistently funds outcomes.</w:t>
      </w:r>
    </w:p>
    <w:p w:rsidR="00000000" w:rsidDel="00000000" w:rsidP="00000000" w:rsidRDefault="00000000" w:rsidRPr="00000000" w14:paraId="00000010">
      <w:pPr>
        <w:spacing w:line="240" w:lineRule="auto"/>
        <w:rPr>
          <w:rFonts w:ascii="Merriweather" w:cs="Merriweather" w:eastAsia="Merriweather" w:hAnsi="Merriweather"/>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1">
      <w:pPr>
        <w:pStyle w:val="Heading3"/>
        <w:keepNext w:val="0"/>
        <w:keepLines w:val="0"/>
        <w:spacing w:before="280" w:line="240" w:lineRule="auto"/>
        <w:rPr>
          <w:rFonts w:ascii="Merriweather" w:cs="Merriweather" w:eastAsia="Merriweather" w:hAnsi="Merriweather"/>
          <w:b w:val="1"/>
          <w:bCs w:val="1"/>
          <w:color w:val="000000"/>
          <w:sz w:val="34"/>
          <w:szCs w:val="34"/>
        </w:rPr>
      </w:pPr>
      <w:bookmarkStart w:colFirst="0" w:colLast="0" w:name="_fvoj6dxie5o0" w:id="1"/>
      <w:bookmarkEnd w:id="1"/>
      <w:r w:rsidDel="00000000" w:rsidR="00000000" w:rsidRPr="00000000">
        <w:rPr>
          <w:rFonts w:ascii="Merriweather" w:cs="Merriweather" w:eastAsia="Merriweather" w:hAnsi="Merriweather"/>
          <w:b w:val="1"/>
          <w:bCs w:val="1"/>
          <w:color w:val="000000"/>
          <w:sz w:val="34"/>
          <w:szCs w:val="34"/>
          <w:rtl w:val="0"/>
        </w:rPr>
        <w:t xml:space="preserve">What the Evidence Reveals</w:t>
      </w:r>
    </w:p>
    <w:p w:rsidR="00000000" w:rsidDel="00000000" w:rsidP="00000000" w:rsidRDefault="00000000" w:rsidRPr="00000000" w14:paraId="00000012">
      <w:pPr>
        <w:spacing w:after="240" w:before="240" w:line="240" w:lineRule="auto"/>
        <w:rPr>
          <w:rFonts w:ascii="Merriweather" w:cs="Merriweather" w:eastAsia="Merriweather" w:hAnsi="Merriweather"/>
          <w:sz w:val="30"/>
          <w:szCs w:val="30"/>
        </w:rPr>
      </w:pPr>
      <w:r w:rsidDel="00000000" w:rsidR="00000000" w:rsidRPr="00000000">
        <w:rPr>
          <w:rFonts w:ascii="Merriweather" w:cs="Merriweather" w:eastAsia="Merriweather" w:hAnsi="Merriweather"/>
          <w:sz w:val="30"/>
          <w:szCs w:val="30"/>
          <w:rtl w:val="0"/>
        </w:rPr>
        <w:t xml:space="preserve">Available fiscal and learning data reinforce the conclusion that increased education spending has not translated into commensurate improvements in outcomes.</w:t>
      </w:r>
    </w:p>
    <w:p w:rsidR="00000000" w:rsidDel="00000000" w:rsidP="00000000" w:rsidRDefault="00000000" w:rsidRPr="00000000" w14:paraId="00000013">
      <w:pPr>
        <w:spacing w:after="240" w:before="240" w:line="240" w:lineRule="auto"/>
        <w:rPr>
          <w:rFonts w:ascii="Merriweather" w:cs="Merriweather" w:eastAsia="Merriweather" w:hAnsi="Merriweather"/>
          <w:sz w:val="30"/>
          <w:szCs w:val="30"/>
        </w:rPr>
      </w:pPr>
      <w:r w:rsidDel="00000000" w:rsidR="00000000" w:rsidRPr="00000000">
        <w:rPr>
          <w:rFonts w:ascii="Merriweather" w:cs="Merriweather" w:eastAsia="Merriweather" w:hAnsi="Merriweather"/>
          <w:sz w:val="30"/>
          <w:szCs w:val="30"/>
          <w:rtl w:val="0"/>
        </w:rPr>
        <w:t xml:space="preserve">At the federal level, education allocations increased from N2.18 trillion in 2024 to approximately N3.52 trillion in 2025, representing a nominal increase of more than 60 per cent. However, education’s share of total federal expenditure declined slightly from 7.9 per cent to approximately 7.1–7.3 per cent, remaining below commonly referenced international benchmarks of </w:t>
      </w:r>
      <w:hyperlink r:id="rId10">
        <w:r w:rsidDel="00000000" w:rsidR="00000000" w:rsidRPr="00000000">
          <w:rPr>
            <w:rFonts w:ascii="Merriweather" w:cs="Merriweather" w:eastAsia="Merriweather" w:hAnsi="Merriweather"/>
            <w:color w:val="1155cc"/>
            <w:sz w:val="30"/>
            <w:szCs w:val="30"/>
            <w:u w:val="single"/>
            <w:rtl w:val="0"/>
          </w:rPr>
          <w:t xml:space="preserve">15–26 per cent</w:t>
        </w:r>
      </w:hyperlink>
      <w:r w:rsidDel="00000000" w:rsidR="00000000" w:rsidRPr="00000000">
        <w:rPr>
          <w:rFonts w:ascii="Merriweather" w:cs="Merriweather" w:eastAsia="Merriweather" w:hAnsi="Merriweather"/>
          <w:sz w:val="30"/>
          <w:szCs w:val="30"/>
          <w:rtl w:val="0"/>
        </w:rPr>
        <w:t xml:space="preserve">. Relative to GDP, education spending remains at about 3 per cent, compared to a widely cited global range of </w:t>
      </w:r>
      <w:hyperlink r:id="rId11">
        <w:r w:rsidDel="00000000" w:rsidR="00000000" w:rsidRPr="00000000">
          <w:rPr>
            <w:rFonts w:ascii="Merriweather" w:cs="Merriweather" w:eastAsia="Merriweather" w:hAnsi="Merriweather"/>
            <w:color w:val="1155cc"/>
            <w:sz w:val="30"/>
            <w:szCs w:val="30"/>
            <w:u w:val="single"/>
            <w:rtl w:val="0"/>
          </w:rPr>
          <w:t xml:space="preserve">4–6 per cent</w:t>
        </w:r>
      </w:hyperlink>
      <w:r w:rsidDel="00000000" w:rsidR="00000000" w:rsidRPr="00000000">
        <w:rPr>
          <w:rFonts w:ascii="Merriweather" w:cs="Merriweather" w:eastAsia="Merriweather" w:hAnsi="Merriweather"/>
          <w:sz w:val="30"/>
          <w:szCs w:val="30"/>
          <w:rtl w:val="0"/>
        </w:rPr>
        <w:t xml:space="preserve">.</w:t>
      </w:r>
    </w:p>
    <w:p w:rsidR="00000000" w:rsidDel="00000000" w:rsidP="00000000" w:rsidRDefault="00000000" w:rsidRPr="00000000" w14:paraId="00000014">
      <w:pPr>
        <w:spacing w:after="240" w:before="240" w:line="240" w:lineRule="auto"/>
        <w:rPr>
          <w:rFonts w:ascii="Merriweather" w:cs="Merriweather" w:eastAsia="Merriweather" w:hAnsi="Merriweather"/>
          <w:sz w:val="30"/>
          <w:szCs w:val="30"/>
        </w:rPr>
      </w:pPr>
      <w:r w:rsidDel="00000000" w:rsidR="00000000" w:rsidRPr="00000000">
        <w:rPr>
          <w:rFonts w:ascii="Merriweather" w:cs="Merriweather" w:eastAsia="Merriweather" w:hAnsi="Merriweather"/>
          <w:sz w:val="30"/>
          <w:szCs w:val="30"/>
          <w:rtl w:val="0"/>
        </w:rPr>
        <w:t xml:space="preserve">State-level data show a similar pattern. Aggregate state education budgets increased from approximately N2.41 trillion in 2024 to around N3.6 trillion in 2025. Budget execution averaged roughly 66–67 per cent, indicating that a significant share of approved funds—particularly capital allocations—was not spent. Average per capita education spending across states was estimated at N6,981, a low figure relative to enrolment pressures and </w:t>
      </w:r>
      <w:hyperlink r:id="rId12">
        <w:r w:rsidDel="00000000" w:rsidR="00000000" w:rsidRPr="00000000">
          <w:rPr>
            <w:rFonts w:ascii="Merriweather" w:cs="Merriweather" w:eastAsia="Merriweather" w:hAnsi="Merriweather"/>
            <w:color w:val="1155cc"/>
            <w:sz w:val="30"/>
            <w:szCs w:val="30"/>
            <w:u w:val="single"/>
            <w:rtl w:val="0"/>
          </w:rPr>
          <w:t xml:space="preserve">infrastructure needs</w:t>
        </w:r>
      </w:hyperlink>
      <w:r w:rsidDel="00000000" w:rsidR="00000000" w:rsidRPr="00000000">
        <w:rPr>
          <w:rFonts w:ascii="Merriweather" w:cs="Merriweather" w:eastAsia="Merriweather" w:hAnsi="Merriweather"/>
          <w:sz w:val="30"/>
          <w:szCs w:val="30"/>
          <w:rtl w:val="0"/>
        </w:rPr>
        <w:t xml:space="preserve">.</w:t>
      </w:r>
    </w:p>
    <w:p w:rsidR="00000000" w:rsidDel="00000000" w:rsidP="00000000" w:rsidRDefault="00000000" w:rsidRPr="00000000" w14:paraId="00000015">
      <w:pPr>
        <w:spacing w:after="240" w:before="240" w:line="240" w:lineRule="auto"/>
        <w:rPr>
          <w:rFonts w:ascii="Merriweather" w:cs="Merriweather" w:eastAsia="Merriweather" w:hAnsi="Merriweather"/>
          <w:sz w:val="30"/>
          <w:szCs w:val="30"/>
        </w:rPr>
      </w:pPr>
      <w:r w:rsidDel="00000000" w:rsidR="00000000" w:rsidRPr="00000000">
        <w:rPr>
          <w:rFonts w:ascii="Merriweather" w:cs="Merriweather" w:eastAsia="Merriweather" w:hAnsi="Merriweather"/>
          <w:sz w:val="30"/>
          <w:szCs w:val="30"/>
          <w:rtl w:val="0"/>
        </w:rPr>
        <w:t xml:space="preserve">Learning indicators remain weak. National assessments indicate that approximately 27 per cent of Primary 3 pupils achieve minimum literacy standards, while about </w:t>
      </w:r>
      <w:hyperlink r:id="rId13">
        <w:r w:rsidDel="00000000" w:rsidR="00000000" w:rsidRPr="00000000">
          <w:rPr>
            <w:rFonts w:ascii="Merriweather" w:cs="Merriweather" w:eastAsia="Merriweather" w:hAnsi="Merriweather"/>
            <w:color w:val="1155cc"/>
            <w:sz w:val="30"/>
            <w:szCs w:val="30"/>
            <w:u w:val="single"/>
            <w:rtl w:val="0"/>
          </w:rPr>
          <w:t xml:space="preserve">26–27 per cent</w:t>
        </w:r>
      </w:hyperlink>
      <w:r w:rsidDel="00000000" w:rsidR="00000000" w:rsidRPr="00000000">
        <w:rPr>
          <w:rFonts w:ascii="Merriweather" w:cs="Merriweather" w:eastAsia="Merriweather" w:hAnsi="Merriweather"/>
          <w:sz w:val="30"/>
          <w:szCs w:val="30"/>
          <w:rtl w:val="0"/>
        </w:rPr>
        <w:t xml:space="preserve"> meet basic numeracy benchmarks. Secondary examination outcomes show five-credit pass rates (including English and Mathematics) in the range of </w:t>
      </w:r>
      <w:hyperlink r:id="rId14">
        <w:r w:rsidDel="00000000" w:rsidR="00000000" w:rsidRPr="00000000">
          <w:rPr>
            <w:rFonts w:ascii="Merriweather" w:cs="Merriweather" w:eastAsia="Merriweather" w:hAnsi="Merriweather"/>
            <w:color w:val="1155cc"/>
            <w:sz w:val="30"/>
            <w:szCs w:val="30"/>
            <w:u w:val="single"/>
            <w:rtl w:val="0"/>
          </w:rPr>
          <w:t xml:space="preserve">70–75 per cent</w:t>
        </w:r>
      </w:hyperlink>
      <w:r w:rsidDel="00000000" w:rsidR="00000000" w:rsidRPr="00000000">
        <w:rPr>
          <w:rFonts w:ascii="Merriweather" w:cs="Merriweather" w:eastAsia="Merriweather" w:hAnsi="Merriweather"/>
          <w:sz w:val="30"/>
          <w:szCs w:val="30"/>
          <w:rtl w:val="0"/>
        </w:rPr>
        <w:t xml:space="preserve">, with substantial regional variation. These aggregate figures should be interpreted cautiously, as they mask disparities in learning quality and examination participation. Estimates of out-of-school children remain between </w:t>
      </w:r>
      <w:hyperlink r:id="rId15">
        <w:r w:rsidDel="00000000" w:rsidR="00000000" w:rsidRPr="00000000">
          <w:rPr>
            <w:rFonts w:ascii="Merriweather" w:cs="Merriweather" w:eastAsia="Merriweather" w:hAnsi="Merriweather"/>
            <w:color w:val="1155cc"/>
            <w:sz w:val="30"/>
            <w:szCs w:val="30"/>
            <w:u w:val="single"/>
            <w:rtl w:val="0"/>
          </w:rPr>
          <w:t xml:space="preserve">18 and 20 million</w:t>
        </w:r>
      </w:hyperlink>
      <w:r w:rsidDel="00000000" w:rsidR="00000000" w:rsidRPr="00000000">
        <w:rPr>
          <w:rFonts w:ascii="Merriweather" w:cs="Merriweather" w:eastAsia="Merriweather" w:hAnsi="Merriweather"/>
          <w:sz w:val="30"/>
          <w:szCs w:val="30"/>
          <w:rtl w:val="0"/>
        </w:rPr>
        <w:t xml:space="preserve">, reflecting persistent access and equity gaps.</w:t>
      </w:r>
    </w:p>
    <w:p w:rsidR="00000000" w:rsidDel="00000000" w:rsidP="00000000" w:rsidRDefault="00000000" w:rsidRPr="00000000" w14:paraId="00000016">
      <w:pPr>
        <w:spacing w:after="240" w:before="240" w:line="240" w:lineRule="auto"/>
        <w:rPr>
          <w:rFonts w:ascii="Merriweather" w:cs="Merriweather" w:eastAsia="Merriweather" w:hAnsi="Merriweather"/>
          <w:sz w:val="30"/>
          <w:szCs w:val="30"/>
        </w:rPr>
      </w:pPr>
      <w:r w:rsidDel="00000000" w:rsidR="00000000" w:rsidRPr="00000000">
        <w:rPr>
          <w:rFonts w:ascii="Merriweather" w:cs="Merriweather" w:eastAsia="Merriweather" w:hAnsi="Merriweather"/>
          <w:sz w:val="30"/>
          <w:szCs w:val="30"/>
          <w:rtl w:val="0"/>
        </w:rPr>
        <w:t xml:space="preserve">Taken together, the evidence suggests that Nigeria’s education budget remains weakly coupled to the delivery of learning. Spending has increased, but foundational skills, infrastructure completion, and equitable access have not improved proportionately.</w:t>
      </w:r>
    </w:p>
    <w:p w:rsidR="00000000" w:rsidDel="00000000" w:rsidP="00000000" w:rsidRDefault="00000000" w:rsidRPr="00000000" w14:paraId="00000017">
      <w:pPr>
        <w:spacing w:line="240" w:lineRule="auto"/>
        <w:rPr>
          <w:rFonts w:ascii="Merriweather" w:cs="Merriweather" w:eastAsia="Merriweather" w:hAnsi="Merriweather"/>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pStyle w:val="Heading3"/>
        <w:keepNext w:val="0"/>
        <w:keepLines w:val="0"/>
        <w:spacing w:before="280" w:line="240" w:lineRule="auto"/>
        <w:rPr>
          <w:rFonts w:ascii="Merriweather" w:cs="Merriweather" w:eastAsia="Merriweather" w:hAnsi="Merriweather"/>
          <w:b w:val="1"/>
          <w:bCs w:val="1"/>
          <w:color w:val="000000"/>
          <w:sz w:val="34"/>
          <w:szCs w:val="34"/>
        </w:rPr>
      </w:pPr>
      <w:bookmarkStart w:colFirst="0" w:colLast="0" w:name="_8788x01ao1mr" w:id="2"/>
      <w:bookmarkEnd w:id="2"/>
      <w:r w:rsidDel="00000000" w:rsidR="00000000" w:rsidRPr="00000000">
        <w:rPr>
          <w:rFonts w:ascii="Merriweather" w:cs="Merriweather" w:eastAsia="Merriweather" w:hAnsi="Merriweather"/>
          <w:b w:val="1"/>
          <w:bCs w:val="1"/>
          <w:color w:val="000000"/>
          <w:sz w:val="34"/>
          <w:szCs w:val="34"/>
          <w:rtl w:val="0"/>
        </w:rPr>
        <w:t xml:space="preserve">Why the System Sustains the Failure</w:t>
      </w:r>
    </w:p>
    <w:p w:rsidR="00000000" w:rsidDel="00000000" w:rsidP="00000000" w:rsidRDefault="00000000" w:rsidRPr="00000000" w14:paraId="00000019">
      <w:pPr>
        <w:spacing w:after="240" w:before="240" w:line="240" w:lineRule="auto"/>
        <w:rPr>
          <w:rFonts w:ascii="Merriweather" w:cs="Merriweather" w:eastAsia="Merriweather" w:hAnsi="Merriweather"/>
          <w:sz w:val="30"/>
          <w:szCs w:val="30"/>
        </w:rPr>
      </w:pPr>
      <w:r w:rsidDel="00000000" w:rsidR="00000000" w:rsidRPr="00000000">
        <w:rPr>
          <w:rFonts w:ascii="Merriweather" w:cs="Merriweather" w:eastAsia="Merriweather" w:hAnsi="Merriweather"/>
          <w:sz w:val="30"/>
          <w:szCs w:val="30"/>
          <w:rtl w:val="0"/>
        </w:rPr>
        <w:t xml:space="preserve">The persistence of ineffective education budgeting appears to be reinforced by political economy dynamics rather than technical capacity constraints alone.</w:t>
      </w:r>
    </w:p>
    <w:p w:rsidR="00000000" w:rsidDel="00000000" w:rsidP="00000000" w:rsidRDefault="00000000" w:rsidRPr="00000000" w14:paraId="0000001A">
      <w:pPr>
        <w:spacing w:after="240" w:before="240" w:line="240" w:lineRule="auto"/>
        <w:rPr>
          <w:rFonts w:ascii="Merriweather" w:cs="Merriweather" w:eastAsia="Merriweather" w:hAnsi="Merriweather"/>
          <w:sz w:val="30"/>
          <w:szCs w:val="30"/>
        </w:rPr>
      </w:pPr>
      <w:r w:rsidDel="00000000" w:rsidR="00000000" w:rsidRPr="00000000">
        <w:rPr>
          <w:rFonts w:ascii="Merriweather" w:cs="Merriweather" w:eastAsia="Merriweather" w:hAnsi="Merriweather"/>
          <w:sz w:val="30"/>
          <w:szCs w:val="30"/>
          <w:rtl w:val="0"/>
        </w:rPr>
        <w:t xml:space="preserve">Routine expenditures generate predictable benefits for organised constituencies, including public sector employees and administrative units. Shifting resources toward performance-linked or outcome-based allocations introduces uncertainty and redistributes influence, which can generate resistance within bureaucratic structures.</w:t>
      </w:r>
    </w:p>
    <w:p w:rsidR="00000000" w:rsidDel="00000000" w:rsidP="00000000" w:rsidRDefault="00000000" w:rsidRPr="00000000" w14:paraId="0000001B">
      <w:pPr>
        <w:spacing w:after="240" w:before="240" w:line="240" w:lineRule="auto"/>
        <w:rPr>
          <w:rFonts w:ascii="Merriweather" w:cs="Merriweather" w:eastAsia="Merriweather" w:hAnsi="Merriweather"/>
          <w:sz w:val="30"/>
          <w:szCs w:val="30"/>
        </w:rPr>
      </w:pPr>
      <w:r w:rsidDel="00000000" w:rsidR="00000000" w:rsidRPr="00000000">
        <w:rPr>
          <w:rFonts w:ascii="Merriweather" w:cs="Merriweather" w:eastAsia="Merriweather" w:hAnsi="Merriweather"/>
          <w:sz w:val="30"/>
          <w:szCs w:val="30"/>
          <w:rtl w:val="0"/>
        </w:rPr>
        <w:t xml:space="preserve">Regulatory institutions face constraints in enforcing compliance. Oversight bodies often lack timely data, political backing, or statutory authority to impose corrective measures on underperforming subnational governments. This weakens the credibility of accountability mechanisms.</w:t>
      </w:r>
    </w:p>
    <w:p w:rsidR="00000000" w:rsidDel="00000000" w:rsidP="00000000" w:rsidRDefault="00000000" w:rsidRPr="00000000" w14:paraId="0000001C">
      <w:pPr>
        <w:spacing w:after="240" w:before="240" w:line="240" w:lineRule="auto"/>
        <w:rPr>
          <w:rFonts w:ascii="Merriweather" w:cs="Merriweather" w:eastAsia="Merriweather" w:hAnsi="Merriweather"/>
          <w:sz w:val="30"/>
          <w:szCs w:val="30"/>
        </w:rPr>
      </w:pPr>
      <w:r w:rsidDel="00000000" w:rsidR="00000000" w:rsidRPr="00000000">
        <w:rPr>
          <w:rFonts w:ascii="Merriweather" w:cs="Merriweather" w:eastAsia="Merriweather" w:hAnsi="Merriweather"/>
          <w:sz w:val="30"/>
          <w:szCs w:val="30"/>
          <w:rtl w:val="0"/>
        </w:rPr>
        <w:t xml:space="preserve">Data limitations further entrench existing practices. Education management information systems remain uneven across states, constraining the ability to track spending effectiveness or link budget lines to learning outcomes. In the absence of reliable data, historical budgeting patterns persist by default.</w:t>
      </w:r>
    </w:p>
    <w:p w:rsidR="00000000" w:rsidDel="00000000" w:rsidP="00000000" w:rsidRDefault="00000000" w:rsidRPr="00000000" w14:paraId="0000001D">
      <w:pPr>
        <w:spacing w:after="240" w:before="240" w:line="240" w:lineRule="auto"/>
        <w:rPr>
          <w:rFonts w:ascii="Merriweather" w:cs="Merriweather" w:eastAsia="Merriweather" w:hAnsi="Merriweather"/>
          <w:sz w:val="30"/>
          <w:szCs w:val="30"/>
        </w:rPr>
      </w:pPr>
      <w:r w:rsidDel="00000000" w:rsidR="00000000" w:rsidRPr="00000000">
        <w:rPr>
          <w:rFonts w:ascii="Merriweather" w:cs="Merriweather" w:eastAsia="Merriweather" w:hAnsi="Merriweather"/>
          <w:sz w:val="30"/>
          <w:szCs w:val="30"/>
          <w:rtl w:val="0"/>
        </w:rPr>
        <w:t xml:space="preserve">These dynamics help explain why reform efforts frequently stall at the implementation stage, even where policy intent is clear.</w:t>
      </w:r>
    </w:p>
    <w:p w:rsidR="00000000" w:rsidDel="00000000" w:rsidP="00000000" w:rsidRDefault="00000000" w:rsidRPr="00000000" w14:paraId="0000001E">
      <w:pPr>
        <w:spacing w:line="240" w:lineRule="auto"/>
        <w:rPr>
          <w:rFonts w:ascii="Merriweather" w:cs="Merriweather" w:eastAsia="Merriweather" w:hAnsi="Merriweather"/>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F">
      <w:pPr>
        <w:pStyle w:val="Heading3"/>
        <w:keepNext w:val="0"/>
        <w:keepLines w:val="0"/>
        <w:spacing w:before="280" w:line="240" w:lineRule="auto"/>
        <w:rPr>
          <w:rFonts w:ascii="Merriweather" w:cs="Merriweather" w:eastAsia="Merriweather" w:hAnsi="Merriweather"/>
          <w:b w:val="1"/>
          <w:bCs w:val="1"/>
          <w:color w:val="000000"/>
          <w:sz w:val="34"/>
          <w:szCs w:val="34"/>
        </w:rPr>
      </w:pPr>
      <w:bookmarkStart w:colFirst="0" w:colLast="0" w:name="_gay6h0cm8vji" w:id="3"/>
      <w:bookmarkEnd w:id="3"/>
      <w:r w:rsidDel="00000000" w:rsidR="00000000" w:rsidRPr="00000000">
        <w:rPr>
          <w:rFonts w:ascii="Merriweather" w:cs="Merriweather" w:eastAsia="Merriweather" w:hAnsi="Merriweather"/>
          <w:b w:val="1"/>
          <w:bCs w:val="1"/>
          <w:color w:val="000000"/>
          <w:sz w:val="34"/>
          <w:szCs w:val="34"/>
          <w:rtl w:val="0"/>
        </w:rPr>
        <w:t xml:space="preserve">Comparative Insight</w:t>
      </w:r>
    </w:p>
    <w:p w:rsidR="00000000" w:rsidDel="00000000" w:rsidP="00000000" w:rsidRDefault="00000000" w:rsidRPr="00000000" w14:paraId="00000020">
      <w:pPr>
        <w:spacing w:after="240" w:before="240" w:line="240" w:lineRule="auto"/>
        <w:rPr>
          <w:rFonts w:ascii="Merriweather" w:cs="Merriweather" w:eastAsia="Merriweather" w:hAnsi="Merriweather"/>
          <w:sz w:val="30"/>
          <w:szCs w:val="30"/>
        </w:rPr>
      </w:pPr>
      <w:r w:rsidDel="00000000" w:rsidR="00000000" w:rsidRPr="00000000">
        <w:rPr>
          <w:rFonts w:ascii="Merriweather" w:cs="Merriweather" w:eastAsia="Merriweather" w:hAnsi="Merriweather"/>
          <w:sz w:val="30"/>
          <w:szCs w:val="30"/>
          <w:rtl w:val="0"/>
        </w:rPr>
        <w:t xml:space="preserve">Comparative experience suggests that institutional design, rather than spending levels alone, shapes education outcomes.</w:t>
      </w:r>
    </w:p>
    <w:p w:rsidR="00000000" w:rsidDel="00000000" w:rsidP="00000000" w:rsidRDefault="00000000" w:rsidRPr="00000000" w14:paraId="00000021">
      <w:pPr>
        <w:spacing w:after="240" w:before="240" w:line="240" w:lineRule="auto"/>
        <w:rPr>
          <w:rFonts w:ascii="Merriweather" w:cs="Merriweather" w:eastAsia="Merriweather" w:hAnsi="Merriweather"/>
          <w:sz w:val="30"/>
          <w:szCs w:val="30"/>
        </w:rPr>
      </w:pPr>
      <w:r w:rsidDel="00000000" w:rsidR="00000000" w:rsidRPr="00000000">
        <w:rPr>
          <w:rFonts w:ascii="Merriweather" w:cs="Merriweather" w:eastAsia="Merriweather" w:hAnsi="Merriweather"/>
          <w:sz w:val="30"/>
          <w:szCs w:val="30"/>
          <w:rtl w:val="0"/>
        </w:rPr>
        <w:t xml:space="preserve">Botswana allocates over 20 per cent of its national budget to education and has achieved relatively strong literacy outcomes. Its approach emphasises targeted investments and monitoring, suggesting that when spending is aligned with development priorities and supported by oversight mechanisms, learning outcomes can </w:t>
      </w:r>
      <w:hyperlink r:id="rId16">
        <w:r w:rsidDel="00000000" w:rsidR="00000000" w:rsidRPr="00000000">
          <w:rPr>
            <w:rFonts w:ascii="Merriweather" w:cs="Merriweather" w:eastAsia="Merriweather" w:hAnsi="Merriweather"/>
            <w:color w:val="1155cc"/>
            <w:sz w:val="30"/>
            <w:szCs w:val="30"/>
            <w:u w:val="single"/>
            <w:rtl w:val="0"/>
          </w:rPr>
          <w:t xml:space="preserve">improve</w:t>
        </w:r>
      </w:hyperlink>
      <w:r w:rsidDel="00000000" w:rsidR="00000000" w:rsidRPr="00000000">
        <w:rPr>
          <w:rFonts w:ascii="Merriweather" w:cs="Merriweather" w:eastAsia="Merriweather" w:hAnsi="Merriweather"/>
          <w:sz w:val="30"/>
          <w:szCs w:val="30"/>
          <w:rtl w:val="0"/>
        </w:rPr>
        <w:t xml:space="preserve">.</w:t>
      </w:r>
    </w:p>
    <w:p w:rsidR="00000000" w:rsidDel="00000000" w:rsidP="00000000" w:rsidRDefault="00000000" w:rsidRPr="00000000" w14:paraId="00000022">
      <w:pPr>
        <w:spacing w:after="240" w:before="240" w:line="240" w:lineRule="auto"/>
        <w:rPr>
          <w:rFonts w:ascii="Merriweather" w:cs="Merriweather" w:eastAsia="Merriweather" w:hAnsi="Merriweather"/>
          <w:sz w:val="30"/>
          <w:szCs w:val="30"/>
        </w:rPr>
      </w:pPr>
      <w:r w:rsidDel="00000000" w:rsidR="00000000" w:rsidRPr="00000000">
        <w:rPr>
          <w:rFonts w:ascii="Merriweather" w:cs="Merriweather" w:eastAsia="Merriweather" w:hAnsi="Merriweather"/>
          <w:sz w:val="30"/>
          <w:szCs w:val="30"/>
          <w:rtl w:val="0"/>
        </w:rPr>
        <w:t xml:space="preserve">Rwanda allocates a smaller share—approximately 14 per cent—but embeds education spending within a national performance management framework. This integration has improved planning coherence and accountability, though quality and </w:t>
      </w:r>
      <w:hyperlink r:id="rId17">
        <w:r w:rsidDel="00000000" w:rsidR="00000000" w:rsidRPr="00000000">
          <w:rPr>
            <w:rFonts w:ascii="Merriweather" w:cs="Merriweather" w:eastAsia="Merriweather" w:hAnsi="Merriweather"/>
            <w:color w:val="1155cc"/>
            <w:sz w:val="30"/>
            <w:szCs w:val="30"/>
            <w:u w:val="single"/>
            <w:rtl w:val="0"/>
          </w:rPr>
          <w:t xml:space="preserve">access gaps</w:t>
        </w:r>
      </w:hyperlink>
      <w:r w:rsidDel="00000000" w:rsidR="00000000" w:rsidRPr="00000000">
        <w:rPr>
          <w:rFonts w:ascii="Merriweather" w:cs="Merriweather" w:eastAsia="Merriweather" w:hAnsi="Merriweather"/>
          <w:sz w:val="30"/>
          <w:szCs w:val="30"/>
          <w:rtl w:val="0"/>
        </w:rPr>
        <w:t xml:space="preserve"> remain.</w:t>
      </w:r>
    </w:p>
    <w:p w:rsidR="00000000" w:rsidDel="00000000" w:rsidP="00000000" w:rsidRDefault="00000000" w:rsidRPr="00000000" w14:paraId="00000023">
      <w:pPr>
        <w:spacing w:after="240" w:before="240" w:line="240" w:lineRule="auto"/>
        <w:rPr>
          <w:rFonts w:ascii="Merriweather" w:cs="Merriweather" w:eastAsia="Merriweather" w:hAnsi="Merriweather"/>
          <w:sz w:val="30"/>
          <w:szCs w:val="30"/>
        </w:rPr>
      </w:pPr>
      <w:r w:rsidDel="00000000" w:rsidR="00000000" w:rsidRPr="00000000">
        <w:rPr>
          <w:rFonts w:ascii="Merriweather" w:cs="Merriweather" w:eastAsia="Merriweather" w:hAnsi="Merriweather"/>
          <w:sz w:val="30"/>
          <w:szCs w:val="30"/>
          <w:rtl w:val="0"/>
        </w:rPr>
        <w:t xml:space="preserve">These cases indicate that elements of performance alignment and monitoring may be adaptable to Nigeria’s context. However, institutional transfer must account for Nigeria’s federal structure and scale. Strong central frameworks would need to be calibrated to subnational autonomy rather than imposed uniformly.</w:t>
      </w:r>
    </w:p>
    <w:p w:rsidR="00000000" w:rsidDel="00000000" w:rsidP="00000000" w:rsidRDefault="00000000" w:rsidRPr="00000000" w14:paraId="00000024">
      <w:pPr>
        <w:spacing w:line="240" w:lineRule="auto"/>
        <w:rPr>
          <w:rFonts w:ascii="Merriweather" w:cs="Merriweather" w:eastAsia="Merriweather" w:hAnsi="Merriweather"/>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pStyle w:val="Heading3"/>
        <w:keepNext w:val="0"/>
        <w:keepLines w:val="0"/>
        <w:spacing w:before="280" w:line="240" w:lineRule="auto"/>
        <w:rPr>
          <w:rFonts w:ascii="Merriweather" w:cs="Merriweather" w:eastAsia="Merriweather" w:hAnsi="Merriweather"/>
          <w:b w:val="1"/>
          <w:bCs w:val="1"/>
          <w:color w:val="000000"/>
          <w:sz w:val="34"/>
          <w:szCs w:val="34"/>
        </w:rPr>
      </w:pPr>
      <w:bookmarkStart w:colFirst="0" w:colLast="0" w:name="_csi9igbb9odz" w:id="4"/>
      <w:bookmarkEnd w:id="4"/>
      <w:r w:rsidDel="00000000" w:rsidR="00000000" w:rsidRPr="00000000">
        <w:rPr>
          <w:rFonts w:ascii="Merriweather" w:cs="Merriweather" w:eastAsia="Merriweather" w:hAnsi="Merriweather"/>
          <w:b w:val="1"/>
          <w:bCs w:val="1"/>
          <w:color w:val="000000"/>
          <w:sz w:val="34"/>
          <w:szCs w:val="34"/>
          <w:rtl w:val="0"/>
        </w:rPr>
        <w:t xml:space="preserve">Policy Pathways for Reform</w:t>
      </w:r>
    </w:p>
    <w:p w:rsidR="00000000" w:rsidDel="00000000" w:rsidP="00000000" w:rsidRDefault="00000000" w:rsidRPr="00000000" w14:paraId="00000026">
      <w:pPr>
        <w:spacing w:after="240" w:before="240" w:line="240" w:lineRule="auto"/>
        <w:rPr>
          <w:rFonts w:ascii="Merriweather" w:cs="Merriweather" w:eastAsia="Merriweather" w:hAnsi="Merriweather"/>
          <w:sz w:val="30"/>
          <w:szCs w:val="30"/>
        </w:rPr>
      </w:pPr>
      <w:r w:rsidDel="00000000" w:rsidR="00000000" w:rsidRPr="00000000">
        <w:rPr>
          <w:rFonts w:ascii="Merriweather" w:cs="Merriweather" w:eastAsia="Merriweather" w:hAnsi="Merriweather"/>
          <w:sz w:val="30"/>
          <w:szCs w:val="30"/>
          <w:rtl w:val="0"/>
        </w:rPr>
        <w:t xml:space="preserve">Reform requires focused, institutionally grounded actions rather than broad programme expansion.</w:t>
      </w:r>
    </w:p>
    <w:p w:rsidR="00000000" w:rsidDel="00000000" w:rsidP="00000000" w:rsidRDefault="00000000" w:rsidRPr="00000000" w14:paraId="00000027">
      <w:pPr>
        <w:spacing w:after="240" w:before="240" w:line="240" w:lineRule="auto"/>
        <w:rPr>
          <w:rFonts w:ascii="Merriweather" w:cs="Merriweather" w:eastAsia="Merriweather" w:hAnsi="Merriweather"/>
          <w:sz w:val="30"/>
          <w:szCs w:val="30"/>
        </w:rPr>
      </w:pPr>
      <w:r w:rsidDel="00000000" w:rsidR="00000000" w:rsidRPr="00000000">
        <w:rPr>
          <w:rFonts w:ascii="Merriweather" w:cs="Merriweather" w:eastAsia="Merriweather" w:hAnsi="Merriweather"/>
          <w:b w:val="1"/>
          <w:bCs w:val="1"/>
          <w:sz w:val="30"/>
          <w:szCs w:val="30"/>
          <w:rtl w:val="0"/>
        </w:rPr>
        <w:t xml:space="preserve">1. Introduce Results-Linked Budget Lines</w:t>
        <w:br w:type="textWrapping"/>
      </w:r>
      <w:r w:rsidDel="00000000" w:rsidR="00000000" w:rsidRPr="00000000">
        <w:rPr>
          <w:rFonts w:ascii="Merriweather" w:cs="Merriweather" w:eastAsia="Merriweather" w:hAnsi="Merriweather"/>
          <w:i w:val="1"/>
          <w:iCs w:val="1"/>
          <w:sz w:val="30"/>
          <w:szCs w:val="30"/>
          <w:rtl w:val="0"/>
        </w:rPr>
        <w:t xml:space="preserve">Responsible institutions:</w:t>
      </w:r>
      <w:r w:rsidDel="00000000" w:rsidR="00000000" w:rsidRPr="00000000">
        <w:rPr>
          <w:rFonts w:ascii="Merriweather" w:cs="Merriweather" w:eastAsia="Merriweather" w:hAnsi="Merriweather"/>
          <w:sz w:val="30"/>
          <w:szCs w:val="30"/>
          <w:rtl w:val="0"/>
        </w:rPr>
        <w:t xml:space="preserve"> Federal Ministry of Education, Ministry of Finance, State Ministries of Education</w:t>
        <w:br w:type="textWrapping"/>
      </w:r>
      <w:r w:rsidDel="00000000" w:rsidR="00000000" w:rsidRPr="00000000">
        <w:rPr>
          <w:rFonts w:ascii="Merriweather" w:cs="Merriweather" w:eastAsia="Merriweather" w:hAnsi="Merriweather"/>
          <w:i w:val="1"/>
          <w:iCs w:val="1"/>
          <w:sz w:val="30"/>
          <w:szCs w:val="30"/>
          <w:rtl w:val="0"/>
        </w:rPr>
        <w:t xml:space="preserve">Timeline:</w:t>
      </w:r>
      <w:r w:rsidDel="00000000" w:rsidR="00000000" w:rsidRPr="00000000">
        <w:rPr>
          <w:rFonts w:ascii="Merriweather" w:cs="Merriweather" w:eastAsia="Merriweather" w:hAnsi="Merriweather"/>
          <w:sz w:val="30"/>
          <w:szCs w:val="30"/>
          <w:rtl w:val="0"/>
        </w:rPr>
        <w:t xml:space="preserve"> Pilot within 12–18 months; scale-up over 36 months</w:t>
        <w:br w:type="textWrapping"/>
      </w:r>
      <w:r w:rsidDel="00000000" w:rsidR="00000000" w:rsidRPr="00000000">
        <w:rPr>
          <w:rFonts w:ascii="Merriweather" w:cs="Merriweather" w:eastAsia="Merriweather" w:hAnsi="Merriweather"/>
          <w:i w:val="1"/>
          <w:iCs w:val="1"/>
          <w:sz w:val="30"/>
          <w:szCs w:val="30"/>
          <w:rtl w:val="0"/>
        </w:rPr>
        <w:t xml:space="preserve">Indicator:</w:t>
      </w:r>
      <w:r w:rsidDel="00000000" w:rsidR="00000000" w:rsidRPr="00000000">
        <w:rPr>
          <w:rFonts w:ascii="Merriweather" w:cs="Merriweather" w:eastAsia="Merriweather" w:hAnsi="Merriweather"/>
          <w:sz w:val="30"/>
          <w:szCs w:val="30"/>
          <w:rtl w:val="0"/>
        </w:rPr>
        <w:t xml:space="preserve"> Share of the education budget linked to learning or delivery outcomes; execution rate of capital projects</w:t>
        <w:br w:type="textWrapping"/>
      </w:r>
      <w:r w:rsidDel="00000000" w:rsidR="00000000" w:rsidRPr="00000000">
        <w:rPr>
          <w:rFonts w:ascii="Merriweather" w:cs="Merriweather" w:eastAsia="Merriweather" w:hAnsi="Merriweather"/>
          <w:i w:val="1"/>
          <w:iCs w:val="1"/>
          <w:sz w:val="30"/>
          <w:szCs w:val="30"/>
          <w:rtl w:val="0"/>
        </w:rPr>
        <w:t xml:space="preserve">Constraint:</w:t>
      </w:r>
      <w:r w:rsidDel="00000000" w:rsidR="00000000" w:rsidRPr="00000000">
        <w:rPr>
          <w:rFonts w:ascii="Merriweather" w:cs="Merriweather" w:eastAsia="Merriweather" w:hAnsi="Merriweather"/>
          <w:sz w:val="30"/>
          <w:szCs w:val="30"/>
          <w:rtl w:val="0"/>
        </w:rPr>
        <w:t xml:space="preserve"> Verification delays, mitigated through phased implementation</w:t>
      </w:r>
    </w:p>
    <w:p w:rsidR="00000000" w:rsidDel="00000000" w:rsidP="00000000" w:rsidRDefault="00000000" w:rsidRPr="00000000" w14:paraId="00000028">
      <w:pPr>
        <w:spacing w:after="240" w:before="240" w:line="240" w:lineRule="auto"/>
        <w:rPr>
          <w:rFonts w:ascii="Merriweather" w:cs="Merriweather" w:eastAsia="Merriweather" w:hAnsi="Merriweather"/>
          <w:sz w:val="30"/>
          <w:szCs w:val="30"/>
        </w:rPr>
      </w:pPr>
      <w:r w:rsidDel="00000000" w:rsidR="00000000" w:rsidRPr="00000000">
        <w:rPr>
          <w:rFonts w:ascii="Merriweather" w:cs="Merriweather" w:eastAsia="Merriweather" w:hAnsi="Merriweather"/>
          <w:b w:val="1"/>
          <w:bCs w:val="1"/>
          <w:sz w:val="30"/>
          <w:szCs w:val="30"/>
          <w:rtl w:val="0"/>
        </w:rPr>
        <w:t xml:space="preserve">2. Strengthen Education Data and Reporting</w:t>
        <w:br w:type="textWrapping"/>
      </w:r>
      <w:r w:rsidDel="00000000" w:rsidR="00000000" w:rsidRPr="00000000">
        <w:rPr>
          <w:rFonts w:ascii="Merriweather" w:cs="Merriweather" w:eastAsia="Merriweather" w:hAnsi="Merriweather"/>
          <w:i w:val="1"/>
          <w:iCs w:val="1"/>
          <w:sz w:val="30"/>
          <w:szCs w:val="30"/>
          <w:rtl w:val="0"/>
        </w:rPr>
        <w:t xml:space="preserve">Responsible institutions:</w:t>
      </w:r>
      <w:r w:rsidDel="00000000" w:rsidR="00000000" w:rsidRPr="00000000">
        <w:rPr>
          <w:rFonts w:ascii="Merriweather" w:cs="Merriweather" w:eastAsia="Merriweather" w:hAnsi="Merriweather"/>
          <w:sz w:val="30"/>
          <w:szCs w:val="30"/>
          <w:rtl w:val="0"/>
        </w:rPr>
        <w:t xml:space="preserve"> Ministry of Education, National Bureau of Statistics, examination bodies</w:t>
        <w:br w:type="textWrapping"/>
      </w:r>
      <w:r w:rsidDel="00000000" w:rsidR="00000000" w:rsidRPr="00000000">
        <w:rPr>
          <w:rFonts w:ascii="Merriweather" w:cs="Merriweather" w:eastAsia="Merriweather" w:hAnsi="Merriweather"/>
          <w:i w:val="1"/>
          <w:iCs w:val="1"/>
          <w:sz w:val="30"/>
          <w:szCs w:val="30"/>
          <w:rtl w:val="0"/>
        </w:rPr>
        <w:t xml:space="preserve">Timeline:</w:t>
      </w:r>
      <w:r w:rsidDel="00000000" w:rsidR="00000000" w:rsidRPr="00000000">
        <w:rPr>
          <w:rFonts w:ascii="Merriweather" w:cs="Merriweather" w:eastAsia="Merriweather" w:hAnsi="Merriweather"/>
          <w:sz w:val="30"/>
          <w:szCs w:val="30"/>
          <w:rtl w:val="0"/>
        </w:rPr>
        <w:t xml:space="preserve"> EMIS upgrades within 24 months; annual reporting thereafter</w:t>
        <w:br w:type="textWrapping"/>
      </w:r>
      <w:r w:rsidDel="00000000" w:rsidR="00000000" w:rsidRPr="00000000">
        <w:rPr>
          <w:rFonts w:ascii="Merriweather" w:cs="Merriweather" w:eastAsia="Merriweather" w:hAnsi="Merriweather"/>
          <w:i w:val="1"/>
          <w:iCs w:val="1"/>
          <w:sz w:val="30"/>
          <w:szCs w:val="30"/>
          <w:rtl w:val="0"/>
        </w:rPr>
        <w:t xml:space="preserve">Indicator:</w:t>
      </w:r>
      <w:r w:rsidDel="00000000" w:rsidR="00000000" w:rsidRPr="00000000">
        <w:rPr>
          <w:rFonts w:ascii="Merriweather" w:cs="Merriweather" w:eastAsia="Merriweather" w:hAnsi="Merriweather"/>
          <w:sz w:val="30"/>
          <w:szCs w:val="30"/>
          <w:rtl w:val="0"/>
        </w:rPr>
        <w:t xml:space="preserve"> Timeliness and completeness of EMIS data; publication of annual performance scorecards</w:t>
        <w:br w:type="textWrapping"/>
      </w:r>
      <w:r w:rsidDel="00000000" w:rsidR="00000000" w:rsidRPr="00000000">
        <w:rPr>
          <w:rFonts w:ascii="Merriweather" w:cs="Merriweather" w:eastAsia="Merriweather" w:hAnsi="Merriweather"/>
          <w:i w:val="1"/>
          <w:iCs w:val="1"/>
          <w:sz w:val="30"/>
          <w:szCs w:val="30"/>
          <w:rtl w:val="0"/>
        </w:rPr>
        <w:t xml:space="preserve">Constraint:</w:t>
      </w:r>
      <w:r w:rsidDel="00000000" w:rsidR="00000000" w:rsidRPr="00000000">
        <w:rPr>
          <w:rFonts w:ascii="Merriweather" w:cs="Merriweather" w:eastAsia="Merriweather" w:hAnsi="Merriweather"/>
          <w:sz w:val="30"/>
          <w:szCs w:val="30"/>
          <w:rtl w:val="0"/>
        </w:rPr>
        <w:t xml:space="preserve"> Upfront costs and capacity gaps</w:t>
      </w:r>
    </w:p>
    <w:p w:rsidR="00000000" w:rsidDel="00000000" w:rsidP="00000000" w:rsidRDefault="00000000" w:rsidRPr="00000000" w14:paraId="00000029">
      <w:pPr>
        <w:spacing w:after="240" w:before="240" w:line="240" w:lineRule="auto"/>
        <w:rPr>
          <w:rFonts w:ascii="Merriweather" w:cs="Merriweather" w:eastAsia="Merriweather" w:hAnsi="Merriweather"/>
          <w:sz w:val="30"/>
          <w:szCs w:val="30"/>
        </w:rPr>
      </w:pPr>
      <w:r w:rsidDel="00000000" w:rsidR="00000000" w:rsidRPr="00000000">
        <w:rPr>
          <w:rFonts w:ascii="Merriweather" w:cs="Merriweather" w:eastAsia="Merriweather" w:hAnsi="Merriweather"/>
          <w:b w:val="1"/>
          <w:bCs w:val="1"/>
          <w:sz w:val="30"/>
          <w:szCs w:val="30"/>
          <w:rtl w:val="0"/>
        </w:rPr>
        <w:t xml:space="preserve">3. Rebalance Expenditure Composition</w:t>
        <w:br w:type="textWrapping"/>
      </w:r>
      <w:r w:rsidDel="00000000" w:rsidR="00000000" w:rsidRPr="00000000">
        <w:rPr>
          <w:rFonts w:ascii="Merriweather" w:cs="Merriweather" w:eastAsia="Merriweather" w:hAnsi="Merriweather"/>
          <w:i w:val="1"/>
          <w:iCs w:val="1"/>
          <w:sz w:val="30"/>
          <w:szCs w:val="30"/>
          <w:rtl w:val="0"/>
        </w:rPr>
        <w:t xml:space="preserve">Responsible institutions:</w:t>
      </w:r>
      <w:r w:rsidDel="00000000" w:rsidR="00000000" w:rsidRPr="00000000">
        <w:rPr>
          <w:rFonts w:ascii="Merriweather" w:cs="Merriweather" w:eastAsia="Merriweather" w:hAnsi="Merriweather"/>
          <w:sz w:val="30"/>
          <w:szCs w:val="30"/>
          <w:rtl w:val="0"/>
        </w:rPr>
        <w:t xml:space="preserve"> Ministry of Finance, Budget Office, State Governments</w:t>
        <w:br w:type="textWrapping"/>
      </w:r>
      <w:r w:rsidDel="00000000" w:rsidR="00000000" w:rsidRPr="00000000">
        <w:rPr>
          <w:rFonts w:ascii="Merriweather" w:cs="Merriweather" w:eastAsia="Merriweather" w:hAnsi="Merriweather"/>
          <w:i w:val="1"/>
          <w:iCs w:val="1"/>
          <w:sz w:val="30"/>
          <w:szCs w:val="30"/>
          <w:rtl w:val="0"/>
        </w:rPr>
        <w:t xml:space="preserve">Timeline:</w:t>
      </w:r>
      <w:r w:rsidDel="00000000" w:rsidR="00000000" w:rsidRPr="00000000">
        <w:rPr>
          <w:rFonts w:ascii="Merriweather" w:cs="Merriweather" w:eastAsia="Merriweather" w:hAnsi="Merriweather"/>
          <w:sz w:val="30"/>
          <w:szCs w:val="30"/>
          <w:rtl w:val="0"/>
        </w:rPr>
        <w:t xml:space="preserve"> Expenditure reviews within one budget cycle; gradual reallocation over three years</w:t>
        <w:br w:type="textWrapping"/>
      </w:r>
      <w:r w:rsidDel="00000000" w:rsidR="00000000" w:rsidRPr="00000000">
        <w:rPr>
          <w:rFonts w:ascii="Merriweather" w:cs="Merriweather" w:eastAsia="Merriweather" w:hAnsi="Merriweather"/>
          <w:i w:val="1"/>
          <w:iCs w:val="1"/>
          <w:sz w:val="30"/>
          <w:szCs w:val="30"/>
          <w:rtl w:val="0"/>
        </w:rPr>
        <w:t xml:space="preserve">Indicator:</w:t>
      </w:r>
      <w:r w:rsidDel="00000000" w:rsidR="00000000" w:rsidRPr="00000000">
        <w:rPr>
          <w:rFonts w:ascii="Merriweather" w:cs="Merriweather" w:eastAsia="Merriweather" w:hAnsi="Merriweather"/>
          <w:sz w:val="30"/>
          <w:szCs w:val="30"/>
          <w:rtl w:val="0"/>
        </w:rPr>
        <w:t xml:space="preserve"> Share of the budget allocated to infrastructure, teacher development, and learning materials</w:t>
        <w:br w:type="textWrapping"/>
      </w:r>
      <w:r w:rsidDel="00000000" w:rsidR="00000000" w:rsidRPr="00000000">
        <w:rPr>
          <w:rFonts w:ascii="Merriweather" w:cs="Merriweather" w:eastAsia="Merriweather" w:hAnsi="Merriweather"/>
          <w:i w:val="1"/>
          <w:iCs w:val="1"/>
          <w:sz w:val="30"/>
          <w:szCs w:val="30"/>
          <w:rtl w:val="0"/>
        </w:rPr>
        <w:t xml:space="preserve">Constraint:</w:t>
      </w:r>
      <w:r w:rsidDel="00000000" w:rsidR="00000000" w:rsidRPr="00000000">
        <w:rPr>
          <w:rFonts w:ascii="Merriweather" w:cs="Merriweather" w:eastAsia="Merriweather" w:hAnsi="Merriweather"/>
          <w:sz w:val="30"/>
          <w:szCs w:val="30"/>
          <w:rtl w:val="0"/>
        </w:rPr>
        <w:t xml:space="preserve"> Resistance from beneficiaries of recurrent spending</w:t>
      </w:r>
    </w:p>
    <w:p w:rsidR="00000000" w:rsidDel="00000000" w:rsidP="00000000" w:rsidRDefault="00000000" w:rsidRPr="00000000" w14:paraId="0000002A">
      <w:pPr>
        <w:spacing w:line="240" w:lineRule="auto"/>
        <w:rPr>
          <w:rFonts w:ascii="Merriweather" w:cs="Merriweather" w:eastAsia="Merriweather" w:hAnsi="Merriweather"/>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B">
      <w:pPr>
        <w:pStyle w:val="Heading3"/>
        <w:keepNext w:val="0"/>
        <w:keepLines w:val="0"/>
        <w:spacing w:before="280" w:line="240" w:lineRule="auto"/>
        <w:rPr>
          <w:rFonts w:ascii="Merriweather" w:cs="Merriweather" w:eastAsia="Merriweather" w:hAnsi="Merriweather"/>
          <w:b w:val="1"/>
          <w:bCs w:val="1"/>
          <w:color w:val="000000"/>
          <w:sz w:val="34"/>
          <w:szCs w:val="34"/>
        </w:rPr>
      </w:pPr>
      <w:bookmarkStart w:colFirst="0" w:colLast="0" w:name="_qa7sedv9wi2i" w:id="5"/>
      <w:bookmarkEnd w:id="5"/>
      <w:r w:rsidDel="00000000" w:rsidR="00000000" w:rsidRPr="00000000">
        <w:rPr>
          <w:rFonts w:ascii="Merriweather" w:cs="Merriweather" w:eastAsia="Merriweather" w:hAnsi="Merriweather"/>
          <w:b w:val="1"/>
          <w:bCs w:val="1"/>
          <w:color w:val="000000"/>
          <w:sz w:val="34"/>
          <w:szCs w:val="34"/>
          <w:rtl w:val="0"/>
        </w:rPr>
        <w:t xml:space="preserve">Conclusion</w:t>
      </w:r>
    </w:p>
    <w:p w:rsidR="00000000" w:rsidDel="00000000" w:rsidP="00000000" w:rsidRDefault="00000000" w:rsidRPr="00000000" w14:paraId="0000002C">
      <w:pPr>
        <w:spacing w:after="240" w:before="240" w:line="240" w:lineRule="auto"/>
        <w:rPr>
          <w:rFonts w:ascii="Merriweather" w:cs="Merriweather" w:eastAsia="Merriweather" w:hAnsi="Merriweather"/>
          <w:sz w:val="30"/>
          <w:szCs w:val="30"/>
        </w:rPr>
      </w:pPr>
      <w:r w:rsidDel="00000000" w:rsidR="00000000" w:rsidRPr="00000000">
        <w:rPr>
          <w:rFonts w:ascii="Merriweather" w:cs="Merriweather" w:eastAsia="Merriweather" w:hAnsi="Merriweather"/>
          <w:sz w:val="30"/>
          <w:szCs w:val="30"/>
          <w:rtl w:val="0"/>
        </w:rPr>
        <w:t xml:space="preserve">Nigeria’s education outcomes reflect a budgeting system that prioritises expenditure continuity over delivery performance rather than measurable results. Under current conditions, increased spending has not been demonstrably associated with sustained improvements in learning, access, or equity. The cost of inaction is not abstract: weak human capital formation constrains productivity, limits social mobility, and reduces the long-term returns on public investment.</w:t>
      </w:r>
    </w:p>
    <w:p w:rsidR="00000000" w:rsidDel="00000000" w:rsidP="00000000" w:rsidRDefault="00000000" w:rsidRPr="00000000" w14:paraId="0000002D">
      <w:pPr>
        <w:spacing w:after="240" w:before="240" w:line="240" w:lineRule="auto"/>
        <w:rPr>
          <w:rFonts w:ascii="Merriweather" w:cs="Merriweather" w:eastAsia="Merriweather" w:hAnsi="Merriweather"/>
          <w:sz w:val="30"/>
          <w:szCs w:val="30"/>
        </w:rPr>
      </w:pPr>
      <w:r w:rsidDel="00000000" w:rsidR="00000000" w:rsidRPr="00000000">
        <w:rPr>
          <w:rFonts w:ascii="Merriweather" w:cs="Merriweather" w:eastAsia="Merriweather" w:hAnsi="Merriweather"/>
          <w:sz w:val="30"/>
          <w:szCs w:val="30"/>
          <w:rtl w:val="0"/>
        </w:rPr>
        <w:t xml:space="preserve">Without stronger links between budgets, performance, and accountability, education spending risks remaining fiscally significant but developmentally inefficient. Addressing this governance gap is central to improving the effectiveness of education finance within Nigeria’s constrained fiscal environment.</w:t>
      </w:r>
    </w:p>
    <w:p w:rsidR="00000000" w:rsidDel="00000000" w:rsidP="00000000" w:rsidRDefault="00000000" w:rsidRPr="00000000" w14:paraId="0000002E">
      <w:pPr>
        <w:spacing w:line="240" w:lineRule="auto"/>
        <w:rPr>
          <w:rFonts w:ascii="Merriweather" w:cs="Merriweather" w:eastAsia="Merriweather" w:hAnsi="Merriweather"/>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F">
      <w:pPr>
        <w:spacing w:after="240" w:before="240" w:line="240" w:lineRule="auto"/>
        <w:rPr>
          <w:rFonts w:ascii="Merriweather" w:cs="Merriweather" w:eastAsia="Merriweather" w:hAnsi="Merriweather"/>
          <w:sz w:val="30"/>
          <w:szCs w:val="30"/>
        </w:rPr>
      </w:pPr>
      <w:r w:rsidDel="00000000" w:rsidR="00000000" w:rsidRPr="00000000">
        <w:rPr>
          <w:rFonts w:ascii="Merriweather" w:cs="Merriweather" w:eastAsia="Merriweather" w:hAnsi="Merriweather"/>
          <w:b w:val="1"/>
          <w:bCs w:val="1"/>
          <w:sz w:val="30"/>
          <w:szCs w:val="30"/>
          <w:rtl w:val="0"/>
        </w:rPr>
        <w:t xml:space="preserve">Author</w:t>
        <w:br w:type="textWrapping"/>
      </w:r>
      <w:r w:rsidDel="00000000" w:rsidR="00000000" w:rsidRPr="00000000">
        <w:rPr>
          <w:rFonts w:ascii="Merriweather" w:cs="Merriweather" w:eastAsia="Merriweather" w:hAnsi="Merriweather"/>
          <w:sz w:val="30"/>
          <w:szCs w:val="30"/>
          <w:rtl w:val="0"/>
        </w:rPr>
        <w:t xml:space="preserve">Ahmed Abdullahi is a research assistant at the Athena Centre for Policy and Leadership.</w:t>
      </w:r>
    </w:p>
    <w:p w:rsidR="00000000" w:rsidDel="00000000" w:rsidP="00000000" w:rsidRDefault="00000000" w:rsidRPr="00000000" w14:paraId="00000030">
      <w:pPr>
        <w:spacing w:line="240" w:lineRule="auto"/>
        <w:rPr>
          <w:rFonts w:ascii="Merriweather" w:cs="Merriweather" w:eastAsia="Merriweather" w:hAnsi="Merriweather"/>
          <w:sz w:val="30"/>
          <w:szCs w:val="30"/>
        </w:rPr>
      </w:pP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data.worldbank.org/indicator/SE.XPD.TOTL.GD.ZS" TargetMode="External"/><Relationship Id="rId10" Type="http://schemas.openxmlformats.org/officeDocument/2006/relationships/hyperlink" Target="https://nairametrics.com/2023/11/30/2024-budget-fg-allocates-n1-32-trillion-for-infrastructure-n2-18-trillion-for-education/" TargetMode="External"/><Relationship Id="rId13" Type="http://schemas.openxmlformats.org/officeDocument/2006/relationships/hyperlink" Target="https://www.unicef.org/nigeria/media/14341/file/NALABE%202022%20Report_pdf.pdf.pdf" TargetMode="External"/><Relationship Id="rId12" Type="http://schemas.openxmlformats.org/officeDocument/2006/relationships/hyperlink" Target="https://www.statista.com/topics/6658/education-in-nigeri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udgit.org/post_publications/state-of-states-report-2025/" TargetMode="External"/><Relationship Id="rId15" Type="http://schemas.openxmlformats.org/officeDocument/2006/relationships/hyperlink" Target="https://nairametrics.com/2026/03/26/out-of-school-children-rise-to-273-million-globally-unesco/" TargetMode="External"/><Relationship Id="rId14" Type="http://schemas.openxmlformats.org/officeDocument/2006/relationships/hyperlink" Target="https://punchng.com/wassce-2025-only-38-32-pass-english-mathematics-with-five-credits/" TargetMode="External"/><Relationship Id="rId17" Type="http://schemas.openxmlformats.org/officeDocument/2006/relationships/hyperlink" Target="https://documents.worldbank.org/en/publication/documents-reports/documentdetail/677741468107072073" TargetMode="External"/><Relationship Id="rId16" Type="http://schemas.openxmlformats.org/officeDocument/2006/relationships/hyperlink" Target="https://data.humdata.org/dataset/unesco-data-for-botswana?force_layout=desktop#:~:text=Contains%20data%20from%20the%20UNESCO%20Institute%20for%20Statistics,-%20Education%20Indicators%20dataset%20to%20support%20humanitarian%20efforts." TargetMode="External"/><Relationship Id="rId5" Type="http://schemas.openxmlformats.org/officeDocument/2006/relationships/styles" Target="styles.xml"/><Relationship Id="rId6" Type="http://schemas.openxmlformats.org/officeDocument/2006/relationships/hyperlink" Target="https://data.unicef.org/topic/education/learning-and-skills/" TargetMode="External"/><Relationship Id="rId7" Type="http://schemas.openxmlformats.org/officeDocument/2006/relationships/hyperlink" Target="https://ubec.gov.ng/reports/" TargetMode="External"/><Relationship Id="rId8" Type="http://schemas.openxmlformats.org/officeDocument/2006/relationships/hyperlink" Target="https://www.strategyand.pwc.com/a1/en/insights/nigeria-economic-outlook.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